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Finanční plán střednědobý (20</w:t>
      </w:r>
      <w:r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-202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)</w:t>
      </w:r>
    </w:p>
    <w:tbl>
      <w:tblPr>
        <w:tblStyle w:val="Svtlmkazvraznn5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3261"/>
        <w:gridCol w:w="1275"/>
        <w:gridCol w:w="1592"/>
        <w:gridCol w:w="184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účet</w:t>
            </w:r>
          </w:p>
        </w:tc>
        <w:tc>
          <w:tcPr>
            <w:tcW w:w="3261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1275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theme="majorBidi" w:eastAsiaTheme="majorEastAsia"/>
                <w:b/>
                <w:b/>
                <w:bCs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20</w:t>
            </w: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theme="majorBidi" w:eastAsiaTheme="majorEastAsia"/>
                <w:b/>
                <w:b/>
                <w:bCs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202</w:t>
            </w: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theme="majorBidi" w:eastAsiaTheme="majorEastAsia"/>
                <w:b/>
                <w:b/>
                <w:bCs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202</w:t>
            </w:r>
            <w:r>
              <w:rPr>
                <w:rFonts w:eastAsia="" w:cs="Arial" w:eastAsiaTheme="majorEastAsia" w:ascii="Arial" w:hAnsi="Arial"/>
                <w:b/>
                <w:bCs/>
                <w:sz w:val="28"/>
                <w:szCs w:val="28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Spotřeba materiálu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100 000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  <w:r>
              <w:rPr>
                <w:rFonts w:cs="Arial" w:ascii="Arial" w:hAnsi="Arial"/>
                <w:sz w:val="28"/>
                <w:szCs w:val="28"/>
              </w:rPr>
              <w:t>2</w:t>
            </w:r>
            <w:r>
              <w:rPr>
                <w:rFonts w:cs="Arial" w:ascii="Arial" w:hAnsi="Arial"/>
                <w:sz w:val="28"/>
                <w:szCs w:val="28"/>
              </w:rPr>
              <w:t>0 000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120 000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502 0100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Spotřeba elektřiny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60 000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</w:t>
            </w:r>
            <w:r>
              <w:rPr>
                <w:rFonts w:cs="Arial" w:ascii="Arial" w:hAnsi="Arial"/>
                <w:sz w:val="28"/>
                <w:szCs w:val="28"/>
              </w:rPr>
              <w:t>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502 0200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Spotřeba plynu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155 000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16</w:t>
            </w:r>
            <w:r>
              <w:rPr>
                <w:rFonts w:cs="Arial" w:ascii="Arial" w:hAnsi="Arial"/>
                <w:sz w:val="28"/>
                <w:szCs w:val="28"/>
              </w:rPr>
              <w:t>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165 000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502 0300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Vodné, stočné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30 000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3</w:t>
            </w:r>
            <w:r>
              <w:rPr>
                <w:rFonts w:cs="Arial" w:ascii="Arial" w:hAnsi="Arial"/>
                <w:sz w:val="28"/>
                <w:szCs w:val="28"/>
              </w:rPr>
              <w:t>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35 000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Opravy a udržování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90 000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150 000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150 000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Ostatní služby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90 000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100 000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100 000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Ostatní náklady z činnosti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35 000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4</w:t>
            </w:r>
            <w:r>
              <w:rPr>
                <w:rFonts w:cs="Arial" w:ascii="Arial" w:hAnsi="Arial"/>
                <w:sz w:val="28"/>
                <w:szCs w:val="28"/>
              </w:rPr>
              <w:t>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45 000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Odpisy dlouhodobého majetku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20 000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20 000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Majetek hmotný a nehmotný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100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90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90 000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3261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Náklady celkem</w:t>
            </w:r>
          </w:p>
        </w:tc>
        <w:tc>
          <w:tcPr>
            <w:tcW w:w="1275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68</w:t>
            </w:r>
            <w:r>
              <w:rPr>
                <w:rFonts w:cs="Arial" w:ascii="Arial" w:hAnsi="Arial"/>
                <w:sz w:val="28"/>
                <w:szCs w:val="28"/>
              </w:rPr>
              <w:t>0 000</w:t>
            </w:r>
          </w:p>
        </w:tc>
        <w:tc>
          <w:tcPr>
            <w:tcW w:w="1592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</w:t>
            </w:r>
            <w:r>
              <w:rPr>
                <w:rFonts w:cs="Arial" w:ascii="Arial" w:hAnsi="Arial"/>
                <w:sz w:val="28"/>
                <w:szCs w:val="28"/>
              </w:rPr>
              <w:t>95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800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Výnosy školní družina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80 000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85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85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Dotace ÚSC</w:t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600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710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</w:t>
            </w:r>
            <w:r>
              <w:rPr>
                <w:rFonts w:cs="Arial" w:ascii="Arial" w:hAnsi="Arial"/>
                <w:sz w:val="28"/>
                <w:szCs w:val="28"/>
              </w:rPr>
              <w:t>15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8"/>
                <w:szCs w:val="28"/>
              </w:rPr>
            </w:r>
          </w:p>
        </w:tc>
        <w:tc>
          <w:tcPr>
            <w:tcW w:w="3261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Výnosy celkem</w:t>
            </w:r>
          </w:p>
        </w:tc>
        <w:tc>
          <w:tcPr>
            <w:tcW w:w="1275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830 000</w:t>
            </w:r>
          </w:p>
        </w:tc>
        <w:tc>
          <w:tcPr>
            <w:tcW w:w="1592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7</w:t>
            </w:r>
            <w:r>
              <w:rPr>
                <w:rFonts w:cs="Arial" w:ascii="Arial" w:hAnsi="Arial"/>
                <w:sz w:val="28"/>
                <w:szCs w:val="28"/>
              </w:rPr>
              <w:t>95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8"/>
                <w:szCs w:val="28"/>
              </w:rPr>
              <w:t>800</w:t>
            </w:r>
            <w:r>
              <w:rPr>
                <w:rFonts w:cs="Arial" w:ascii="Arial" w:hAnsi="Arial"/>
                <w:sz w:val="28"/>
                <w:szCs w:val="28"/>
              </w:rPr>
              <w:t xml:space="preserve"> 000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8"/>
                <w:szCs w:val="28"/>
              </w:rPr>
            </w:r>
          </w:p>
        </w:tc>
        <w:tc>
          <w:tcPr>
            <w:tcW w:w="32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275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592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43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05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mkazvraznn4">
    <w:name w:val="Light Grid Accent 4"/>
    <w:basedOn w:val="Normlntabulka"/>
    <w:uiPriority w:val="62"/>
    <w:rsid w:val="0067593e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tlmkazvraznn3">
    <w:name w:val="Light Grid Accent 3"/>
    <w:basedOn w:val="Normlntabulka"/>
    <w:uiPriority w:val="62"/>
    <w:rsid w:val="0067593e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tlmkazvraznn5">
    <w:name w:val="Light Grid Accent 5"/>
    <w:basedOn w:val="Normlntabulka"/>
    <w:uiPriority w:val="62"/>
    <w:rsid w:val="0067593e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D85F-E103-4DE1-A06D-C79A87CF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1</Pages>
  <Words>135</Words>
  <Characters>526</Characters>
  <CharactersWithSpaces>592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2018-11-26T12:17:00Z</dcterms:created>
  <dc:creator>EKONOM</dc:creator>
  <dc:description/>
  <dc:language>cs-CZ</dc:language>
  <cp:lastModifiedBy/>
  <cp:lastPrinted>2017-11-13T14:15:00Z</cp:lastPrinted>
  <dcterms:modified xsi:type="dcterms:W3CDTF">2020-05-04T18:50:54Z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